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08" w:rsidRDefault="00923E08" w:rsidP="00923E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23E08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National Mine Safety Framework (</w:t>
      </w:r>
      <w:r w:rsidRPr="00923E08">
        <w:rPr>
          <w:rFonts w:ascii="Arial" w:hAnsi="Arial" w:cs="Arial"/>
          <w:sz w:val="22"/>
          <w:szCs w:val="22"/>
        </w:rPr>
        <w:t>NMSF</w:t>
      </w:r>
      <w:r>
        <w:rPr>
          <w:rFonts w:ascii="Arial" w:hAnsi="Arial" w:cs="Arial"/>
          <w:sz w:val="22"/>
          <w:szCs w:val="22"/>
        </w:rPr>
        <w:t>)</w:t>
      </w:r>
      <w:r w:rsidRPr="00923E08">
        <w:rPr>
          <w:rFonts w:ascii="Arial" w:hAnsi="Arial" w:cs="Arial"/>
          <w:sz w:val="22"/>
          <w:szCs w:val="22"/>
        </w:rPr>
        <w:t xml:space="preserve"> started as an initiative of the Conference of Chief Inspectors of Mines</w:t>
      </w:r>
      <w:r w:rsidR="00117C69">
        <w:rPr>
          <w:rFonts w:ascii="Arial" w:hAnsi="Arial" w:cs="Arial"/>
          <w:sz w:val="22"/>
          <w:szCs w:val="22"/>
        </w:rPr>
        <w:t xml:space="preserve"> but</w:t>
      </w:r>
      <w:r w:rsidRPr="00923E08">
        <w:rPr>
          <w:rFonts w:ascii="Arial" w:hAnsi="Arial" w:cs="Arial"/>
          <w:sz w:val="22"/>
          <w:szCs w:val="22"/>
        </w:rPr>
        <w:t xml:space="preserve"> became one of 27 Council of Australian Government</w:t>
      </w:r>
      <w:r>
        <w:rPr>
          <w:rFonts w:ascii="Arial" w:hAnsi="Arial" w:cs="Arial"/>
          <w:sz w:val="22"/>
          <w:szCs w:val="22"/>
        </w:rPr>
        <w:t xml:space="preserve">s </w:t>
      </w:r>
      <w:r w:rsidR="006A5772">
        <w:rPr>
          <w:rFonts w:ascii="Arial" w:hAnsi="Arial" w:cs="Arial"/>
          <w:sz w:val="22"/>
          <w:szCs w:val="22"/>
        </w:rPr>
        <w:t xml:space="preserve">(COAG) </w:t>
      </w:r>
      <w:r w:rsidRPr="00923E08">
        <w:rPr>
          <w:rFonts w:ascii="Arial" w:hAnsi="Arial" w:cs="Arial"/>
          <w:sz w:val="22"/>
          <w:szCs w:val="22"/>
        </w:rPr>
        <w:t>reforms</w:t>
      </w:r>
      <w:r w:rsidR="00117C69">
        <w:rPr>
          <w:rFonts w:ascii="Arial" w:hAnsi="Arial" w:cs="Arial"/>
          <w:sz w:val="22"/>
          <w:szCs w:val="22"/>
        </w:rPr>
        <w:t>.</w:t>
      </w:r>
      <w:r w:rsidRPr="00923E08">
        <w:rPr>
          <w:rFonts w:ascii="Arial" w:hAnsi="Arial" w:cs="Arial"/>
          <w:sz w:val="22"/>
          <w:szCs w:val="22"/>
        </w:rPr>
        <w:t xml:space="preserve"> One of the strategies under the NMSF is to develop a nationally consistent legislat</w:t>
      </w:r>
      <w:r w:rsidR="00481884">
        <w:rPr>
          <w:rFonts w:ascii="Arial" w:hAnsi="Arial" w:cs="Arial"/>
          <w:sz w:val="22"/>
          <w:szCs w:val="22"/>
        </w:rPr>
        <w:t xml:space="preserve">ive and regulatory framework. </w:t>
      </w:r>
    </w:p>
    <w:p w:rsidR="00923E08" w:rsidRDefault="00923E08" w:rsidP="00923E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 w:rsidRPr="00923E08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923E08">
        <w:rPr>
          <w:rFonts w:ascii="Arial" w:hAnsi="Arial" w:cs="Arial"/>
          <w:sz w:val="22"/>
          <w:szCs w:val="22"/>
        </w:rPr>
        <w:t xml:space="preserve"> has participated in the NMSF based on the position that existing safety and health </w:t>
      </w:r>
      <w:r w:rsidR="00860A4D">
        <w:rPr>
          <w:rFonts w:ascii="Arial" w:hAnsi="Arial" w:cs="Arial"/>
          <w:sz w:val="22"/>
          <w:szCs w:val="22"/>
        </w:rPr>
        <w:t>standards will n</w:t>
      </w:r>
      <w:r w:rsidRPr="00923E08">
        <w:rPr>
          <w:rFonts w:ascii="Arial" w:hAnsi="Arial" w:cs="Arial"/>
          <w:sz w:val="22"/>
          <w:szCs w:val="22"/>
        </w:rPr>
        <w:t xml:space="preserve">ot </w:t>
      </w:r>
      <w:r w:rsidR="00860A4D">
        <w:rPr>
          <w:rFonts w:ascii="Arial" w:hAnsi="Arial" w:cs="Arial"/>
          <w:sz w:val="22"/>
          <w:szCs w:val="22"/>
        </w:rPr>
        <w:t xml:space="preserve">be </w:t>
      </w:r>
      <w:r w:rsidRPr="00923E08">
        <w:rPr>
          <w:rFonts w:ascii="Arial" w:hAnsi="Arial" w:cs="Arial"/>
          <w:sz w:val="22"/>
          <w:szCs w:val="22"/>
        </w:rPr>
        <w:t xml:space="preserve">diminished. </w:t>
      </w:r>
      <w:smartTag w:uri="urn:schemas-microsoft-com:office:smarttags" w:element="State">
        <w:r w:rsidRPr="00923E08">
          <w:rPr>
            <w:rFonts w:ascii="Arial" w:hAnsi="Arial" w:cs="Arial"/>
            <w:sz w:val="22"/>
            <w:szCs w:val="22"/>
          </w:rPr>
          <w:t>Queensland</w:t>
        </w:r>
      </w:smartTag>
      <w:r w:rsidRPr="00923E08">
        <w:rPr>
          <w:rFonts w:ascii="Arial" w:hAnsi="Arial" w:cs="Arial"/>
          <w:sz w:val="22"/>
          <w:szCs w:val="22"/>
        </w:rPr>
        <w:t>, N</w:t>
      </w:r>
      <w:r w:rsidR="003B37D4">
        <w:rPr>
          <w:rFonts w:ascii="Arial" w:hAnsi="Arial" w:cs="Arial"/>
          <w:sz w:val="22"/>
          <w:szCs w:val="22"/>
        </w:rPr>
        <w:t xml:space="preserve">ew </w:t>
      </w:r>
      <w:r w:rsidRPr="00923E08">
        <w:rPr>
          <w:rFonts w:ascii="Arial" w:hAnsi="Arial" w:cs="Arial"/>
          <w:sz w:val="22"/>
          <w:szCs w:val="22"/>
        </w:rPr>
        <w:t>S</w:t>
      </w:r>
      <w:r w:rsidR="003B37D4">
        <w:rPr>
          <w:rFonts w:ascii="Arial" w:hAnsi="Arial" w:cs="Arial"/>
          <w:sz w:val="22"/>
          <w:szCs w:val="22"/>
        </w:rPr>
        <w:t xml:space="preserve">outh </w:t>
      </w:r>
      <w:r w:rsidRPr="00923E08">
        <w:rPr>
          <w:rFonts w:ascii="Arial" w:hAnsi="Arial" w:cs="Arial"/>
          <w:sz w:val="22"/>
          <w:szCs w:val="22"/>
        </w:rPr>
        <w:t>W</w:t>
      </w:r>
      <w:r w:rsidR="003B37D4">
        <w:rPr>
          <w:rFonts w:ascii="Arial" w:hAnsi="Arial" w:cs="Arial"/>
          <w:sz w:val="22"/>
          <w:szCs w:val="22"/>
        </w:rPr>
        <w:t xml:space="preserve">ales (NSW) </w:t>
      </w:r>
      <w:r w:rsidRPr="00923E08">
        <w:rPr>
          <w:rFonts w:ascii="Arial" w:hAnsi="Arial" w:cs="Arial"/>
          <w:sz w:val="22"/>
          <w:szCs w:val="22"/>
        </w:rPr>
        <w:t>and W</w:t>
      </w:r>
      <w:r w:rsidR="003B37D4">
        <w:rPr>
          <w:rFonts w:ascii="Arial" w:hAnsi="Arial" w:cs="Arial"/>
          <w:sz w:val="22"/>
          <w:szCs w:val="22"/>
        </w:rPr>
        <w:t xml:space="preserve">estern </w:t>
      </w:r>
      <w:r w:rsidRPr="00923E08">
        <w:rPr>
          <w:rFonts w:ascii="Arial" w:hAnsi="Arial" w:cs="Arial"/>
          <w:sz w:val="22"/>
          <w:szCs w:val="22"/>
        </w:rPr>
        <w:t>A</w:t>
      </w:r>
      <w:r w:rsidR="003B37D4">
        <w:rPr>
          <w:rFonts w:ascii="Arial" w:hAnsi="Arial" w:cs="Arial"/>
          <w:sz w:val="22"/>
          <w:szCs w:val="22"/>
        </w:rPr>
        <w:t xml:space="preserve">ustralia (WA) are </w:t>
      </w:r>
      <w:r w:rsidR="00860A4D">
        <w:rPr>
          <w:rFonts w:ascii="Arial" w:hAnsi="Arial" w:cs="Arial"/>
          <w:sz w:val="22"/>
          <w:szCs w:val="22"/>
        </w:rPr>
        <w:t xml:space="preserve">collectively </w:t>
      </w:r>
      <w:r w:rsidRPr="00923E08">
        <w:rPr>
          <w:rFonts w:ascii="Arial" w:hAnsi="Arial" w:cs="Arial"/>
          <w:sz w:val="22"/>
          <w:szCs w:val="22"/>
        </w:rPr>
        <w:t>responsible for approximately 85</w:t>
      </w:r>
      <w:r w:rsidR="00860A4D">
        <w:rPr>
          <w:rFonts w:ascii="Arial" w:hAnsi="Arial" w:cs="Arial"/>
          <w:sz w:val="22"/>
          <w:szCs w:val="22"/>
        </w:rPr>
        <w:t xml:space="preserve"> to 90 per cent </w:t>
      </w:r>
      <w:r w:rsidRPr="00923E08">
        <w:rPr>
          <w:rFonts w:ascii="Arial" w:hAnsi="Arial" w:cs="Arial"/>
          <w:sz w:val="22"/>
          <w:szCs w:val="22"/>
        </w:rPr>
        <w:t xml:space="preserve">of mining operations across </w:t>
      </w:r>
      <w:smartTag w:uri="urn:schemas-microsoft-com:office:smarttags" w:element="place">
        <w:smartTag w:uri="urn:schemas-microsoft-com:office:smarttags" w:element="country-region">
          <w:r w:rsidRPr="00923E08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923E08">
        <w:rPr>
          <w:rFonts w:ascii="Arial" w:hAnsi="Arial" w:cs="Arial"/>
          <w:sz w:val="22"/>
          <w:szCs w:val="22"/>
        </w:rPr>
        <w:t>. Queensland, NSW and WA have maintained that their frameworks must include additional rigour to that of the other jurisdictions whose mining activity is far less complex, and have participated in a “non-core” NMSF process, in</w:t>
      </w:r>
      <w:r w:rsidR="003B37D4">
        <w:rPr>
          <w:rFonts w:ascii="Arial" w:hAnsi="Arial" w:cs="Arial"/>
          <w:sz w:val="22"/>
          <w:szCs w:val="22"/>
        </w:rPr>
        <w:t xml:space="preserve"> developing </w:t>
      </w:r>
      <w:r w:rsidRPr="00923E08">
        <w:rPr>
          <w:rFonts w:ascii="Arial" w:hAnsi="Arial" w:cs="Arial"/>
          <w:sz w:val="22"/>
          <w:szCs w:val="22"/>
        </w:rPr>
        <w:t>provisions</w:t>
      </w:r>
      <w:r w:rsidR="003B37D4">
        <w:rPr>
          <w:rFonts w:ascii="Arial" w:hAnsi="Arial" w:cs="Arial"/>
          <w:sz w:val="22"/>
          <w:szCs w:val="22"/>
        </w:rPr>
        <w:t xml:space="preserve"> additional</w:t>
      </w:r>
      <w:r w:rsidRPr="00923E08">
        <w:rPr>
          <w:rFonts w:ascii="Arial" w:hAnsi="Arial" w:cs="Arial"/>
          <w:sz w:val="22"/>
          <w:szCs w:val="22"/>
        </w:rPr>
        <w:t xml:space="preserve"> to the “core” NMSF process (for all jurisdictions).</w:t>
      </w:r>
      <w:r w:rsidR="000D596A">
        <w:rPr>
          <w:rFonts w:ascii="Arial" w:hAnsi="Arial" w:cs="Arial"/>
          <w:sz w:val="22"/>
          <w:szCs w:val="22"/>
        </w:rPr>
        <w:t xml:space="preserve"> </w:t>
      </w:r>
      <w:r w:rsidR="003B37D4">
        <w:rPr>
          <w:rFonts w:ascii="Arial" w:hAnsi="Arial" w:cs="Arial"/>
          <w:sz w:val="22"/>
          <w:szCs w:val="22"/>
        </w:rPr>
        <w:t xml:space="preserve">The </w:t>
      </w:r>
      <w:r w:rsidRPr="00923E08">
        <w:rPr>
          <w:rFonts w:ascii="Arial" w:hAnsi="Arial" w:cs="Arial"/>
          <w:sz w:val="22"/>
          <w:szCs w:val="22"/>
        </w:rPr>
        <w:t xml:space="preserve">“non-core” provisions should ensure greater regulatory consistency across the three major </w:t>
      </w:r>
      <w:r w:rsidR="003B37D4">
        <w:rPr>
          <w:rFonts w:ascii="Arial" w:hAnsi="Arial" w:cs="Arial"/>
          <w:sz w:val="22"/>
          <w:szCs w:val="22"/>
        </w:rPr>
        <w:t xml:space="preserve">mining </w:t>
      </w:r>
      <w:r w:rsidRPr="00923E08">
        <w:rPr>
          <w:rFonts w:ascii="Arial" w:hAnsi="Arial" w:cs="Arial"/>
          <w:sz w:val="22"/>
          <w:szCs w:val="22"/>
        </w:rPr>
        <w:t>s</w:t>
      </w:r>
      <w:r w:rsidR="00860A4D">
        <w:rPr>
          <w:rFonts w:ascii="Arial" w:hAnsi="Arial" w:cs="Arial"/>
          <w:sz w:val="22"/>
          <w:szCs w:val="22"/>
        </w:rPr>
        <w:t xml:space="preserve">tates </w:t>
      </w:r>
      <w:r w:rsidRPr="00923E08">
        <w:rPr>
          <w:rFonts w:ascii="Arial" w:hAnsi="Arial" w:cs="Arial"/>
          <w:sz w:val="22"/>
          <w:szCs w:val="22"/>
        </w:rPr>
        <w:t>through more consistent technical and competency requirements</w:t>
      </w:r>
      <w:r w:rsidR="00860A4D">
        <w:rPr>
          <w:rFonts w:ascii="Arial" w:hAnsi="Arial" w:cs="Arial"/>
          <w:sz w:val="22"/>
          <w:szCs w:val="22"/>
        </w:rPr>
        <w:t>.</w:t>
      </w:r>
    </w:p>
    <w:p w:rsidR="006A5772" w:rsidRDefault="00F220BC" w:rsidP="00117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sz w:val="22"/>
          <w:szCs w:val="22"/>
        </w:rPr>
        <w:t xml:space="preserve">’s Mine Safety Framework Consultation </w:t>
      </w:r>
      <w:r w:rsidR="00096420">
        <w:rPr>
          <w:rFonts w:ascii="Arial" w:hAnsi="Arial" w:cs="Arial"/>
          <w:sz w:val="22"/>
          <w:szCs w:val="22"/>
        </w:rPr>
        <w:t>Regulatory Impact Statement addresses four options</w:t>
      </w:r>
      <w:r w:rsidR="006A5772">
        <w:rPr>
          <w:rFonts w:ascii="Arial" w:hAnsi="Arial" w:cs="Arial"/>
          <w:sz w:val="22"/>
          <w:szCs w:val="22"/>
        </w:rPr>
        <w:t>:</w:t>
      </w:r>
      <w:r w:rsidR="00096420">
        <w:rPr>
          <w:rFonts w:ascii="Arial" w:hAnsi="Arial" w:cs="Arial"/>
          <w:sz w:val="22"/>
          <w:szCs w:val="22"/>
        </w:rPr>
        <w:t xml:space="preserve"> </w:t>
      </w:r>
    </w:p>
    <w:p w:rsidR="006A5772" w:rsidRDefault="00117C69" w:rsidP="006A577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64CF">
        <w:rPr>
          <w:rFonts w:ascii="Arial" w:hAnsi="Arial" w:cs="Arial"/>
          <w:sz w:val="22"/>
          <w:szCs w:val="22"/>
        </w:rPr>
        <w:t xml:space="preserve">Option 1 is to </w:t>
      </w:r>
      <w:r w:rsidR="00A76895">
        <w:rPr>
          <w:rFonts w:ascii="Arial" w:hAnsi="Arial" w:cs="Arial"/>
          <w:sz w:val="22"/>
          <w:szCs w:val="22"/>
        </w:rPr>
        <w:t xml:space="preserve">retain the current legislative framework together with </w:t>
      </w:r>
      <w:r w:rsidRPr="007664CF">
        <w:rPr>
          <w:rFonts w:ascii="Arial" w:hAnsi="Arial" w:cs="Arial"/>
          <w:sz w:val="22"/>
          <w:szCs w:val="22"/>
        </w:rPr>
        <w:t xml:space="preserve">amendments </w:t>
      </w:r>
      <w:r w:rsidR="00A76895">
        <w:rPr>
          <w:rFonts w:ascii="Arial" w:hAnsi="Arial" w:cs="Arial"/>
          <w:sz w:val="22"/>
          <w:szCs w:val="22"/>
        </w:rPr>
        <w:t xml:space="preserve">in key areas </w:t>
      </w:r>
      <w:r w:rsidRPr="007664CF">
        <w:rPr>
          <w:rFonts w:ascii="Arial" w:hAnsi="Arial" w:cs="Arial"/>
          <w:sz w:val="22"/>
          <w:szCs w:val="22"/>
        </w:rPr>
        <w:t xml:space="preserve">to improve safety </w:t>
      </w:r>
      <w:r w:rsidR="00A76895">
        <w:rPr>
          <w:rFonts w:ascii="Arial" w:hAnsi="Arial" w:cs="Arial"/>
          <w:sz w:val="22"/>
          <w:szCs w:val="22"/>
        </w:rPr>
        <w:t>and/</w:t>
      </w:r>
      <w:r w:rsidRPr="007664CF">
        <w:rPr>
          <w:rFonts w:ascii="Arial" w:hAnsi="Arial" w:cs="Arial"/>
          <w:sz w:val="22"/>
          <w:szCs w:val="22"/>
        </w:rPr>
        <w:t>or consistency with NSW and WA</w:t>
      </w:r>
      <w:r w:rsidR="00A76895">
        <w:rPr>
          <w:rFonts w:ascii="Arial" w:hAnsi="Arial" w:cs="Arial"/>
          <w:sz w:val="22"/>
          <w:szCs w:val="22"/>
        </w:rPr>
        <w:t>.</w:t>
      </w:r>
      <w:r w:rsidRPr="007664CF">
        <w:rPr>
          <w:rFonts w:ascii="Arial" w:hAnsi="Arial" w:cs="Arial"/>
          <w:sz w:val="22"/>
          <w:szCs w:val="22"/>
        </w:rPr>
        <w:t xml:space="preserve"> </w:t>
      </w:r>
      <w:r w:rsidR="00A76895">
        <w:rPr>
          <w:rFonts w:ascii="Arial" w:hAnsi="Arial" w:cs="Arial"/>
          <w:sz w:val="22"/>
          <w:szCs w:val="22"/>
        </w:rPr>
        <w:t>The proposed amendments will</w:t>
      </w:r>
      <w:r w:rsidRPr="007664CF">
        <w:rPr>
          <w:rFonts w:ascii="Arial" w:hAnsi="Arial" w:cs="Arial"/>
          <w:sz w:val="22"/>
          <w:szCs w:val="22"/>
        </w:rPr>
        <w:t xml:space="preserve"> add </w:t>
      </w:r>
      <w:r w:rsidR="00B94B12">
        <w:rPr>
          <w:rFonts w:ascii="Arial" w:hAnsi="Arial" w:cs="Arial"/>
          <w:sz w:val="22"/>
          <w:szCs w:val="22"/>
        </w:rPr>
        <w:t xml:space="preserve">further </w:t>
      </w:r>
      <w:r w:rsidRPr="007664CF">
        <w:rPr>
          <w:rFonts w:ascii="Arial" w:hAnsi="Arial" w:cs="Arial"/>
          <w:sz w:val="22"/>
          <w:szCs w:val="22"/>
        </w:rPr>
        <w:t>rigour to the framework and address some of the strategic priorities of the Mines Inspectorate based upon current concerns</w:t>
      </w:r>
      <w:r w:rsidR="00B94B12">
        <w:rPr>
          <w:rFonts w:ascii="Arial" w:hAnsi="Arial" w:cs="Arial"/>
          <w:sz w:val="22"/>
          <w:szCs w:val="22"/>
        </w:rPr>
        <w:t xml:space="preserve"> and safety trends</w:t>
      </w:r>
      <w:r w:rsidRPr="007664CF">
        <w:rPr>
          <w:rFonts w:ascii="Arial" w:hAnsi="Arial" w:cs="Arial"/>
          <w:sz w:val="22"/>
          <w:szCs w:val="22"/>
        </w:rPr>
        <w:t>.</w:t>
      </w:r>
      <w:r w:rsidR="00C41246">
        <w:rPr>
          <w:rFonts w:ascii="Arial" w:hAnsi="Arial" w:cs="Arial"/>
          <w:sz w:val="22"/>
          <w:szCs w:val="22"/>
        </w:rPr>
        <w:t xml:space="preserve"> </w:t>
      </w:r>
    </w:p>
    <w:p w:rsidR="006A5772" w:rsidRDefault="00117C69" w:rsidP="006A577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64CF">
        <w:rPr>
          <w:rFonts w:ascii="Arial" w:hAnsi="Arial" w:cs="Arial"/>
          <w:sz w:val="22"/>
          <w:szCs w:val="22"/>
        </w:rPr>
        <w:t xml:space="preserve">Option 2 is similar to option 1 except </w:t>
      </w:r>
      <w:smartTag w:uri="urn:schemas-microsoft-com:office:smarttags" w:element="State">
        <w:smartTag w:uri="urn:schemas-microsoft-com:office:smarttags" w:element="place">
          <w:r w:rsidRPr="007664C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7664CF">
        <w:rPr>
          <w:rFonts w:ascii="Arial" w:hAnsi="Arial" w:cs="Arial"/>
          <w:sz w:val="22"/>
          <w:szCs w:val="22"/>
        </w:rPr>
        <w:t>’s two mine safety Acts would be combined into one longer piece of legislation</w:t>
      </w:r>
      <w:r w:rsidR="00A76895">
        <w:rPr>
          <w:rFonts w:ascii="Arial" w:hAnsi="Arial" w:cs="Arial"/>
          <w:sz w:val="22"/>
          <w:szCs w:val="22"/>
        </w:rPr>
        <w:t xml:space="preserve">. </w:t>
      </w:r>
    </w:p>
    <w:p w:rsidR="006A5772" w:rsidRDefault="00117C69" w:rsidP="006A577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64CF">
        <w:rPr>
          <w:rFonts w:ascii="Arial" w:hAnsi="Arial" w:cs="Arial"/>
          <w:sz w:val="22"/>
          <w:szCs w:val="22"/>
        </w:rPr>
        <w:t>Option 3 is to develop mine safety legislation primarily based on the Model Work Health and Safety Act, plus any NMSF provisions that improve safety and con</w:t>
      </w:r>
      <w:r w:rsidR="0088349E">
        <w:rPr>
          <w:rFonts w:ascii="Arial" w:hAnsi="Arial" w:cs="Arial"/>
          <w:sz w:val="22"/>
          <w:szCs w:val="22"/>
        </w:rPr>
        <w:t xml:space="preserve">sistency. </w:t>
      </w:r>
      <w:r w:rsidRPr="007664CF">
        <w:rPr>
          <w:rFonts w:ascii="Arial" w:hAnsi="Arial" w:cs="Arial"/>
          <w:sz w:val="22"/>
          <w:szCs w:val="22"/>
        </w:rPr>
        <w:t xml:space="preserve">The key risks for this option include diminution in mine safety standards and greater regulatory burden through less specific legislation and regulation applying to mining. </w:t>
      </w:r>
    </w:p>
    <w:p w:rsidR="00117C69" w:rsidRPr="007664CF" w:rsidRDefault="007664CF" w:rsidP="006A5772">
      <w:pPr>
        <w:numPr>
          <w:ilvl w:val="0"/>
          <w:numId w:val="5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664CF">
        <w:rPr>
          <w:rFonts w:ascii="Arial" w:hAnsi="Arial" w:cs="Arial"/>
          <w:sz w:val="22"/>
          <w:szCs w:val="22"/>
        </w:rPr>
        <w:t>Option 4 is maintaining the status quo.</w:t>
      </w:r>
    </w:p>
    <w:p w:rsidR="00923E08" w:rsidRPr="00096420" w:rsidRDefault="00923E08" w:rsidP="00923E0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color w:val="auto"/>
          <w:sz w:val="22"/>
          <w:szCs w:val="22"/>
        </w:rPr>
      </w:pPr>
      <w:r w:rsidRPr="00096420">
        <w:rPr>
          <w:rFonts w:ascii="Arial" w:hAnsi="Arial" w:cs="Arial"/>
          <w:sz w:val="22"/>
          <w:szCs w:val="22"/>
        </w:rPr>
        <w:t>The R</w:t>
      </w:r>
      <w:r w:rsidR="00096420">
        <w:rPr>
          <w:rFonts w:ascii="Arial" w:hAnsi="Arial" w:cs="Arial"/>
          <w:sz w:val="22"/>
          <w:szCs w:val="22"/>
        </w:rPr>
        <w:t xml:space="preserve">egulatory </w:t>
      </w:r>
      <w:r w:rsidRPr="00096420">
        <w:rPr>
          <w:rFonts w:ascii="Arial" w:hAnsi="Arial" w:cs="Arial"/>
          <w:sz w:val="22"/>
          <w:szCs w:val="22"/>
        </w:rPr>
        <w:t>I</w:t>
      </w:r>
      <w:r w:rsidR="00096420">
        <w:rPr>
          <w:rFonts w:ascii="Arial" w:hAnsi="Arial" w:cs="Arial"/>
          <w:sz w:val="22"/>
          <w:szCs w:val="22"/>
        </w:rPr>
        <w:t xml:space="preserve">mpact </w:t>
      </w:r>
      <w:r w:rsidRPr="00096420">
        <w:rPr>
          <w:rFonts w:ascii="Arial" w:hAnsi="Arial" w:cs="Arial"/>
          <w:sz w:val="22"/>
          <w:szCs w:val="22"/>
        </w:rPr>
        <w:t>S</w:t>
      </w:r>
      <w:r w:rsidR="00096420">
        <w:rPr>
          <w:rFonts w:ascii="Arial" w:hAnsi="Arial" w:cs="Arial"/>
          <w:sz w:val="22"/>
          <w:szCs w:val="22"/>
        </w:rPr>
        <w:t>tatement</w:t>
      </w:r>
      <w:r w:rsidRPr="00096420">
        <w:rPr>
          <w:rFonts w:ascii="Arial" w:hAnsi="Arial" w:cs="Arial"/>
          <w:sz w:val="22"/>
          <w:szCs w:val="22"/>
        </w:rPr>
        <w:t xml:space="preserve"> indicates that improving requirements through option 1 with minimal costs that are offset by potential safety and health benefits, provides opportunities to further improve and fine tune the world class mining safety and health regime developed by </w:t>
      </w:r>
      <w:r w:rsidR="007018FA">
        <w:rPr>
          <w:rFonts w:ascii="Arial" w:hAnsi="Arial" w:cs="Arial"/>
          <w:sz w:val="22"/>
          <w:szCs w:val="22"/>
        </w:rPr>
        <w:t xml:space="preserve">the </w:t>
      </w:r>
      <w:r w:rsidRPr="00096420">
        <w:rPr>
          <w:rFonts w:ascii="Arial" w:hAnsi="Arial" w:cs="Arial"/>
          <w:sz w:val="22"/>
          <w:szCs w:val="22"/>
        </w:rPr>
        <w:t>Queensland Government, industry and unions</w:t>
      </w:r>
      <w:r w:rsidR="00096420">
        <w:rPr>
          <w:rFonts w:ascii="Arial" w:hAnsi="Arial" w:cs="Arial"/>
          <w:sz w:val="22"/>
          <w:szCs w:val="22"/>
        </w:rPr>
        <w:t>.</w:t>
      </w:r>
      <w:r w:rsidRPr="00096420">
        <w:rPr>
          <w:rFonts w:ascii="Arial" w:hAnsi="Arial" w:cs="Arial"/>
          <w:sz w:val="22"/>
          <w:szCs w:val="22"/>
        </w:rPr>
        <w:t xml:space="preserve"> </w:t>
      </w:r>
    </w:p>
    <w:p w:rsidR="00950178" w:rsidRDefault="0072353B" w:rsidP="008312A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303D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F220BC">
        <w:rPr>
          <w:rFonts w:ascii="Arial" w:hAnsi="Arial" w:cs="Arial"/>
          <w:sz w:val="22"/>
          <w:szCs w:val="22"/>
          <w:u w:val="single"/>
        </w:rPr>
        <w:t>approved</w:t>
      </w:r>
      <w:r w:rsidR="00F220BC" w:rsidRPr="0088349E">
        <w:rPr>
          <w:rFonts w:ascii="Arial" w:hAnsi="Arial" w:cs="Arial"/>
          <w:sz w:val="22"/>
          <w:szCs w:val="22"/>
        </w:rPr>
        <w:t xml:space="preserve"> that </w:t>
      </w:r>
      <w:r w:rsidR="008312AB" w:rsidRPr="008D2937">
        <w:rPr>
          <w:rFonts w:ascii="Arial" w:hAnsi="Arial" w:cs="Arial"/>
          <w:sz w:val="22"/>
          <w:szCs w:val="22"/>
        </w:rPr>
        <w:t>the</w:t>
      </w:r>
      <w:r w:rsidR="008312AB" w:rsidRPr="008312AB">
        <w:rPr>
          <w:rFonts w:ascii="Arial" w:hAnsi="Arial" w:cs="Arial"/>
          <w:sz w:val="22"/>
          <w:szCs w:val="22"/>
        </w:rPr>
        <w:t xml:space="preserve"> Department of Natural Resources and M</w:t>
      </w:r>
      <w:r w:rsidR="007303D2">
        <w:rPr>
          <w:rFonts w:ascii="Arial" w:hAnsi="Arial" w:cs="Arial"/>
          <w:sz w:val="22"/>
          <w:szCs w:val="22"/>
        </w:rPr>
        <w:t>ines</w:t>
      </w:r>
      <w:r w:rsidR="00F220BC">
        <w:rPr>
          <w:rFonts w:ascii="Arial" w:hAnsi="Arial" w:cs="Arial"/>
          <w:sz w:val="22"/>
          <w:szCs w:val="22"/>
        </w:rPr>
        <w:t xml:space="preserve"> </w:t>
      </w:r>
      <w:r w:rsidR="007303D2">
        <w:rPr>
          <w:rFonts w:ascii="Arial" w:hAnsi="Arial" w:cs="Arial"/>
          <w:sz w:val="22"/>
          <w:szCs w:val="22"/>
        </w:rPr>
        <w:t xml:space="preserve">release </w:t>
      </w:r>
      <w:r w:rsidR="00F220BC">
        <w:rPr>
          <w:rFonts w:ascii="Arial" w:hAnsi="Arial" w:cs="Arial"/>
          <w:sz w:val="22"/>
          <w:szCs w:val="22"/>
        </w:rPr>
        <w:t xml:space="preserve">Queensland’s Mine Safety Framework Consultation </w:t>
      </w:r>
      <w:r w:rsidR="007303D2">
        <w:rPr>
          <w:rFonts w:ascii="Arial" w:hAnsi="Arial" w:cs="Arial"/>
          <w:sz w:val="22"/>
          <w:szCs w:val="22"/>
        </w:rPr>
        <w:t>R</w:t>
      </w:r>
      <w:r w:rsidR="008312AB" w:rsidRPr="008312AB">
        <w:rPr>
          <w:rFonts w:ascii="Arial" w:hAnsi="Arial" w:cs="Arial"/>
          <w:sz w:val="22"/>
          <w:szCs w:val="22"/>
        </w:rPr>
        <w:t xml:space="preserve">egulatory </w:t>
      </w:r>
      <w:r w:rsidR="007303D2">
        <w:rPr>
          <w:rFonts w:ascii="Arial" w:hAnsi="Arial" w:cs="Arial"/>
          <w:sz w:val="22"/>
          <w:szCs w:val="22"/>
        </w:rPr>
        <w:t>I</w:t>
      </w:r>
      <w:r w:rsidR="008312AB" w:rsidRPr="008312AB">
        <w:rPr>
          <w:rFonts w:ascii="Arial" w:hAnsi="Arial" w:cs="Arial"/>
          <w:sz w:val="22"/>
          <w:szCs w:val="22"/>
        </w:rPr>
        <w:t xml:space="preserve">mpact </w:t>
      </w:r>
      <w:r w:rsidR="007303D2">
        <w:rPr>
          <w:rFonts w:ascii="Arial" w:hAnsi="Arial" w:cs="Arial"/>
          <w:sz w:val="22"/>
          <w:szCs w:val="22"/>
        </w:rPr>
        <w:t>S</w:t>
      </w:r>
      <w:r w:rsidR="008312AB" w:rsidRPr="008312AB">
        <w:rPr>
          <w:rFonts w:ascii="Arial" w:hAnsi="Arial" w:cs="Arial"/>
          <w:sz w:val="22"/>
          <w:szCs w:val="22"/>
        </w:rPr>
        <w:t xml:space="preserve">tatement for amendments to the </w:t>
      </w:r>
      <w:r w:rsidR="008312AB" w:rsidRPr="008312AB">
        <w:rPr>
          <w:rFonts w:ascii="Arial" w:hAnsi="Arial" w:cs="Arial"/>
          <w:i/>
          <w:sz w:val="22"/>
          <w:szCs w:val="22"/>
        </w:rPr>
        <w:t xml:space="preserve">Coal Mining Safety and Health Act 1999 </w:t>
      </w:r>
      <w:r w:rsidR="008312AB" w:rsidRPr="008312AB">
        <w:rPr>
          <w:rFonts w:ascii="Arial" w:hAnsi="Arial" w:cs="Arial"/>
          <w:sz w:val="22"/>
          <w:szCs w:val="22"/>
        </w:rPr>
        <w:t xml:space="preserve">and </w:t>
      </w:r>
      <w:r w:rsidR="008312AB" w:rsidRPr="008312AB">
        <w:rPr>
          <w:rFonts w:ascii="Arial" w:hAnsi="Arial" w:cs="Arial"/>
          <w:i/>
          <w:sz w:val="22"/>
          <w:szCs w:val="22"/>
        </w:rPr>
        <w:t xml:space="preserve">Mining and Quarrying Safety and Health Act 1999 </w:t>
      </w:r>
      <w:r w:rsidR="008312AB" w:rsidRPr="008312AB">
        <w:rPr>
          <w:rFonts w:ascii="Arial" w:hAnsi="Arial" w:cs="Arial"/>
          <w:sz w:val="22"/>
          <w:szCs w:val="22"/>
        </w:rPr>
        <w:t>and their Regulations for further consultation in relation to options under the National Mine Safety Framework.</w:t>
      </w:r>
    </w:p>
    <w:p w:rsidR="00950178" w:rsidRPr="00C07656" w:rsidRDefault="00950178" w:rsidP="00E158AB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50178" w:rsidRDefault="00EC34CB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F220BC" w:rsidRPr="00851CFA">
          <w:rPr>
            <w:rStyle w:val="Hyperlink"/>
            <w:rFonts w:ascii="Arial" w:hAnsi="Arial" w:cs="Arial"/>
            <w:sz w:val="22"/>
            <w:szCs w:val="22"/>
          </w:rPr>
          <w:t xml:space="preserve">Queensland’s </w:t>
        </w:r>
        <w:r w:rsidR="0072353B" w:rsidRPr="00851CFA">
          <w:rPr>
            <w:rStyle w:val="Hyperlink"/>
            <w:rFonts w:ascii="Arial" w:hAnsi="Arial" w:cs="Arial"/>
            <w:sz w:val="22"/>
            <w:szCs w:val="22"/>
          </w:rPr>
          <w:t>Mine Safety Framework Regulatory Impact Statement</w:t>
        </w:r>
      </w:hyperlink>
    </w:p>
    <w:sectPr w:rsidR="00950178" w:rsidSect="006972B3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9D" w:rsidRDefault="00B0069D" w:rsidP="00D6589B">
      <w:r>
        <w:separator/>
      </w:r>
    </w:p>
  </w:endnote>
  <w:endnote w:type="continuationSeparator" w:id="0">
    <w:p w:rsidR="00B0069D" w:rsidRDefault="00B0069D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9D" w:rsidRDefault="00B0069D" w:rsidP="00D6589B">
      <w:r>
        <w:separator/>
      </w:r>
    </w:p>
  </w:footnote>
  <w:footnote w:type="continuationSeparator" w:id="0">
    <w:p w:rsidR="00B0069D" w:rsidRDefault="00B0069D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B" w:rsidRPr="00D75134" w:rsidRDefault="00E158A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place">
      <w:smartTag w:uri="urn:schemas-microsoft-com:office:smarttags" w:element="Stat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E158AB" w:rsidRPr="00D75134" w:rsidRDefault="00E158A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158AB" w:rsidRPr="001E209B" w:rsidRDefault="00E158AB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 2013</w:t>
    </w:r>
  </w:p>
  <w:p w:rsidR="00E158AB" w:rsidRDefault="00E158A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Regulatory Impact Statement for amendments under the Mine Safety National Framework</w:t>
    </w:r>
  </w:p>
  <w:p w:rsidR="00E158AB" w:rsidRDefault="00E158A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 and Mines</w:t>
    </w:r>
  </w:p>
  <w:p w:rsidR="00E158AB" w:rsidRDefault="00E158AB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ACB7792"/>
    <w:multiLevelType w:val="hybridMultilevel"/>
    <w:tmpl w:val="D1EC0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2E"/>
    <w:rsid w:val="000430DD"/>
    <w:rsid w:val="00080F8F"/>
    <w:rsid w:val="00096420"/>
    <w:rsid w:val="000D596A"/>
    <w:rsid w:val="00117C69"/>
    <w:rsid w:val="00140936"/>
    <w:rsid w:val="00142ECE"/>
    <w:rsid w:val="001E209B"/>
    <w:rsid w:val="0021344B"/>
    <w:rsid w:val="002B67B2"/>
    <w:rsid w:val="002E2878"/>
    <w:rsid w:val="00331B2C"/>
    <w:rsid w:val="00397AFD"/>
    <w:rsid w:val="003A0A83"/>
    <w:rsid w:val="003B37D4"/>
    <w:rsid w:val="003B5871"/>
    <w:rsid w:val="003E71DF"/>
    <w:rsid w:val="003F7F6E"/>
    <w:rsid w:val="00430F80"/>
    <w:rsid w:val="004623DA"/>
    <w:rsid w:val="00481884"/>
    <w:rsid w:val="004E3AE1"/>
    <w:rsid w:val="00501C66"/>
    <w:rsid w:val="0055289C"/>
    <w:rsid w:val="005822D1"/>
    <w:rsid w:val="005863F0"/>
    <w:rsid w:val="0060432E"/>
    <w:rsid w:val="00622FA7"/>
    <w:rsid w:val="006972B3"/>
    <w:rsid w:val="006A5772"/>
    <w:rsid w:val="007018FA"/>
    <w:rsid w:val="0072353B"/>
    <w:rsid w:val="007303D2"/>
    <w:rsid w:val="00732E22"/>
    <w:rsid w:val="00740EF5"/>
    <w:rsid w:val="007664CF"/>
    <w:rsid w:val="00771570"/>
    <w:rsid w:val="007A6DC2"/>
    <w:rsid w:val="008312AB"/>
    <w:rsid w:val="00851CFA"/>
    <w:rsid w:val="00860A4D"/>
    <w:rsid w:val="0088349E"/>
    <w:rsid w:val="008A4523"/>
    <w:rsid w:val="008D2937"/>
    <w:rsid w:val="008E106E"/>
    <w:rsid w:val="008F44CD"/>
    <w:rsid w:val="00923E08"/>
    <w:rsid w:val="009342C6"/>
    <w:rsid w:val="00950178"/>
    <w:rsid w:val="009864DE"/>
    <w:rsid w:val="00A527A5"/>
    <w:rsid w:val="00A76895"/>
    <w:rsid w:val="00AF69B9"/>
    <w:rsid w:val="00B0069D"/>
    <w:rsid w:val="00B37A1F"/>
    <w:rsid w:val="00B70602"/>
    <w:rsid w:val="00B94B12"/>
    <w:rsid w:val="00C07656"/>
    <w:rsid w:val="00C26395"/>
    <w:rsid w:val="00C41246"/>
    <w:rsid w:val="00CE6FBA"/>
    <w:rsid w:val="00CF0D8A"/>
    <w:rsid w:val="00D6589B"/>
    <w:rsid w:val="00D71A18"/>
    <w:rsid w:val="00D75134"/>
    <w:rsid w:val="00DB6FE7"/>
    <w:rsid w:val="00DE61EC"/>
    <w:rsid w:val="00E158AB"/>
    <w:rsid w:val="00E61AB2"/>
    <w:rsid w:val="00EC34CB"/>
    <w:rsid w:val="00EE77B5"/>
    <w:rsid w:val="00F10DF9"/>
    <w:rsid w:val="00F220BC"/>
    <w:rsid w:val="00F2248E"/>
    <w:rsid w:val="00F93B4D"/>
    <w:rsid w:val="00FB1D79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220BC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styleId="Hyperlink">
    <w:name w:val="Hyperlink"/>
    <w:rsid w:val="00F220BC"/>
    <w:rPr>
      <w:color w:val="0000FF"/>
      <w:u w:val="single"/>
    </w:rPr>
  </w:style>
  <w:style w:type="character" w:styleId="FollowedHyperlink">
    <w:name w:val="FollowedHyperlink"/>
    <w:rsid w:val="008834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achment%20-%20RIS%20mine-safety-framewor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GillardS\Local%20Settings\Temporary%20Internet%20Files\OLK8C\Proactive%20Release%20-%20submission%20decision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- submission decision summary.dot</Template>
  <TotalTime>0</TotalTime>
  <Pages>1</Pages>
  <Words>417</Words>
  <Characters>2397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2814</CharactersWithSpaces>
  <SharedDoc>false</SharedDoc>
  <HyperlinkBase>https://www.cabinet.qld.gov.au/documents/2013/Jun/MineSafety RIS/</HyperlinkBase>
  <HLinks>
    <vt:vector size="6" baseType="variant"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Attachments/Attachment - RIS mine-safety-framework.PDF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2013-05-22T23:21:00Z</cp:lastPrinted>
  <dcterms:created xsi:type="dcterms:W3CDTF">2017-10-25T00:52:00Z</dcterms:created>
  <dcterms:modified xsi:type="dcterms:W3CDTF">2018-03-06T01:19:00Z</dcterms:modified>
  <cp:category>Mining,Safety,Workplace_Health_and_Safety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